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outlineLvl w:val="9"/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jc w:val="center"/>
        <w:rPr>
          <w:sz w:val="56"/>
          <w:szCs w:val="56"/>
        </w:rPr>
      </w:pPr>
      <w:r>
        <w:rPr>
          <w:rFonts w:hint="eastAsia"/>
          <w:b/>
          <w:kern w:val="44"/>
          <w:sz w:val="56"/>
          <w:szCs w:val="56"/>
          <w:lang w:eastAsia="zh-CN"/>
        </w:rPr>
        <w:t>推荐单位</w:t>
      </w:r>
      <w:r>
        <w:rPr>
          <w:rFonts w:hint="eastAsia"/>
          <w:b/>
          <w:kern w:val="44"/>
          <w:sz w:val="56"/>
          <w:szCs w:val="56"/>
        </w:rPr>
        <w:t>用户操作手册</w:t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pStyle w:val="4"/>
        <w:outlineLvl w:val="9"/>
      </w:pPr>
    </w:p>
    <w:p/>
    <w:p/>
    <w:p/>
    <w:p/>
    <w:p/>
    <w:p>
      <w:pPr>
        <w:jc w:val="center"/>
        <w:rPr>
          <w:rFonts w:ascii="宋体" w:hAnsi="宋体" w:eastAsia="宋体"/>
          <w:b/>
          <w:bCs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1566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_Toc8498 </w:instrText>
          </w:r>
          <w:r>
            <w:fldChar w:fldCharType="separate"/>
          </w:r>
          <w:r>
            <w:rPr>
              <w:rFonts w:hint="eastAsia" w:ascii="宋体" w:hAnsi="宋体" w:eastAsia="宋体" w:cs="Times New Roman"/>
              <w:szCs w:val="32"/>
              <w:lang w:val="en-US" w:eastAsia="zh-CN"/>
            </w:rPr>
            <w:t xml:space="preserve">1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_Toc8498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_Toc6497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1.1 文档目的</w:t>
          </w:r>
          <w:r>
            <w:tab/>
          </w:r>
          <w:r>
            <w:fldChar w:fldCharType="begin"/>
          </w:r>
          <w:r>
            <w:instrText xml:space="preserve"> PAGEREF _Toc6497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_Toc3859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1.2 文档范围</w:t>
          </w:r>
          <w:r>
            <w:tab/>
          </w:r>
          <w:r>
            <w:fldChar w:fldCharType="begin"/>
          </w:r>
          <w:r>
            <w:instrText xml:space="preserve"> PAGEREF _Toc3859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_Toc28975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1.3 读者对象</w:t>
          </w:r>
          <w:r>
            <w:tab/>
          </w:r>
          <w:r>
            <w:fldChar w:fldCharType="begin"/>
          </w:r>
          <w:r>
            <w:instrText xml:space="preserve"> PAGEREF _Toc28975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_Toc10097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1.4 支持和信息反馈</w:t>
          </w:r>
          <w:r>
            <w:tab/>
          </w:r>
          <w:r>
            <w:fldChar w:fldCharType="begin"/>
          </w:r>
          <w:r>
            <w:instrText xml:space="preserve"> PAGEREF _Toc10097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_Toc15453 </w:instrText>
          </w:r>
          <w:r>
            <w:fldChar w:fldCharType="separate"/>
          </w:r>
          <w:r>
            <w:rPr>
              <w:rFonts w:hint="eastAsia" w:ascii="宋体" w:hAnsi="宋体" w:eastAsia="宋体" w:cs="Times New Roman"/>
              <w:szCs w:val="32"/>
              <w:lang w:val="en-US" w:eastAsia="zh-CN"/>
            </w:rPr>
            <w:t xml:space="preserve">2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系统启动</w:t>
          </w:r>
          <w:r>
            <w:tab/>
          </w:r>
          <w:r>
            <w:fldChar w:fldCharType="begin"/>
          </w:r>
          <w:r>
            <w:instrText xml:space="preserve"> PAGEREF _Toc15453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_Toc11826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2.1 硬件环境</w:t>
          </w:r>
          <w:r>
            <w:tab/>
          </w:r>
          <w:r>
            <w:fldChar w:fldCharType="begin"/>
          </w:r>
          <w:r>
            <w:instrText xml:space="preserve"> PAGEREF _Toc11826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_Toc32725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2.2 软件环境</w:t>
          </w:r>
          <w:r>
            <w:tab/>
          </w:r>
          <w:r>
            <w:fldChar w:fldCharType="begin"/>
          </w:r>
          <w:r>
            <w:instrText xml:space="preserve"> PAGEREF _Toc32725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_Toc10930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</w:rPr>
            <w:t>2.3 解压过程</w:t>
          </w:r>
          <w:r>
            <w:tab/>
          </w:r>
          <w:r>
            <w:fldChar w:fldCharType="begin"/>
          </w:r>
          <w:r>
            <w:instrText xml:space="preserve"> PAGEREF _Toc10930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_Toc19261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2.4 启动步骤</w:t>
          </w:r>
          <w:r>
            <w:tab/>
          </w:r>
          <w:r>
            <w:fldChar w:fldCharType="begin"/>
          </w:r>
          <w:r>
            <w:instrText xml:space="preserve"> PAGEREF _Toc19261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_Toc17642 </w:instrText>
          </w:r>
          <w:r>
            <w:fldChar w:fldCharType="separate"/>
          </w:r>
          <w:r>
            <w:rPr>
              <w:rFonts w:hint="eastAsia" w:ascii="宋体" w:hAnsi="宋体" w:eastAsia="宋体" w:cs="Times New Roman"/>
              <w:szCs w:val="32"/>
              <w:lang w:val="en-US" w:eastAsia="zh-CN"/>
            </w:rPr>
            <w:t xml:space="preserve">3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单位申报数据</w:t>
          </w:r>
          <w:r>
            <w:tab/>
          </w:r>
          <w:r>
            <w:fldChar w:fldCharType="begin"/>
          </w:r>
          <w:r>
            <w:instrText xml:space="preserve"> PAGEREF _Toc17642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_Toc18915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3.1 导入单位申报文件</w:t>
          </w:r>
          <w:r>
            <w:tab/>
          </w:r>
          <w:r>
            <w:fldChar w:fldCharType="begin"/>
          </w:r>
          <w:r>
            <w:instrText xml:space="preserve"> PAGEREF _Toc18915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_Toc6444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3.2 审核查看申报数据</w:t>
          </w:r>
          <w:r>
            <w:tab/>
          </w:r>
          <w:r>
            <w:fldChar w:fldCharType="begin"/>
          </w:r>
          <w:r>
            <w:instrText xml:space="preserve"> PAGEREF _Toc6444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_Toc13354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3.3 项目信息审核/取消审核</w:t>
          </w:r>
          <w:r>
            <w:tab/>
          </w:r>
          <w:r>
            <w:fldChar w:fldCharType="begin"/>
          </w:r>
          <w:r>
            <w:instrText xml:space="preserve"> PAGEREF _Toc13354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_Toc7763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3.4 单位信息查看</w:t>
          </w:r>
          <w:r>
            <w:tab/>
          </w:r>
          <w:r>
            <w:fldChar w:fldCharType="begin"/>
          </w:r>
          <w:r>
            <w:instrText xml:space="preserve"> PAGEREF _Toc7763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_Toc27999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3.5 项目信息查看</w:t>
          </w:r>
          <w:r>
            <w:tab/>
          </w:r>
          <w:r>
            <w:fldChar w:fldCharType="begin"/>
          </w:r>
          <w:r>
            <w:instrText xml:space="preserve"> PAGEREF _Toc27999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_Toc23252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3.6 审查单查看</w:t>
          </w:r>
          <w:r>
            <w:tab/>
          </w:r>
          <w:r>
            <w:fldChar w:fldCharType="begin"/>
          </w:r>
          <w:r>
            <w:instrText xml:space="preserve"> PAGEREF _Toc23252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_Toc14614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3.7 单位列表</w:t>
          </w:r>
          <w:r>
            <w:tab/>
          </w:r>
          <w:r>
            <w:fldChar w:fldCharType="begin"/>
          </w:r>
          <w:r>
            <w:instrText xml:space="preserve"> PAGEREF _Toc14614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_Toc18209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3.8 下属推荐单位汇总表和审查意见表查看</w:t>
          </w:r>
          <w:r>
            <w:tab/>
          </w:r>
          <w:r>
            <w:fldChar w:fldCharType="begin"/>
          </w:r>
          <w:r>
            <w:instrText xml:space="preserve"> PAGEREF _Toc18209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_Toc3194 </w:instrText>
          </w:r>
          <w:r>
            <w:fldChar w:fldCharType="separate"/>
          </w:r>
          <w:r>
            <w:rPr>
              <w:rFonts w:hint="eastAsia" w:ascii="宋体" w:hAnsi="宋体" w:eastAsia="宋体" w:cs="Times New Roman"/>
              <w:szCs w:val="32"/>
              <w:lang w:val="en-US" w:eastAsia="zh-CN"/>
            </w:rPr>
            <w:t xml:space="preserve">4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申报汇总</w:t>
          </w:r>
          <w:r>
            <w:tab/>
          </w:r>
          <w:r>
            <w:fldChar w:fldCharType="begin"/>
          </w:r>
          <w:r>
            <w:instrText xml:space="preserve"> PAGEREF _Toc3194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_Toc28718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4.1 下载审查意见表</w:t>
          </w:r>
          <w:r>
            <w:tab/>
          </w:r>
          <w:r>
            <w:fldChar w:fldCharType="begin"/>
          </w:r>
          <w:r>
            <w:instrText xml:space="preserve"> PAGEREF _Toc28718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_Toc25412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4.2 上传盖章审查意见表图片</w:t>
          </w:r>
          <w:r>
            <w:tab/>
          </w:r>
          <w:r>
            <w:fldChar w:fldCharType="begin"/>
          </w:r>
          <w:r>
            <w:instrText xml:space="preserve"> PAGEREF _Toc25412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_Toc17182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4.3 下载申报汇总表汇总</w:t>
          </w:r>
          <w:r>
            <w:tab/>
          </w:r>
          <w:r>
            <w:fldChar w:fldCharType="begin"/>
          </w:r>
          <w:r>
            <w:instrText xml:space="preserve"> PAGEREF _Toc17182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_Toc32044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4.4 上传盖章汇总表图片</w:t>
          </w:r>
          <w:r>
            <w:tab/>
          </w:r>
          <w:r>
            <w:fldChar w:fldCharType="begin"/>
          </w:r>
          <w:r>
            <w:instrText xml:space="preserve"> PAGEREF _Toc32044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_Toc29539 </w:instrText>
          </w:r>
          <w:r>
            <w:fldChar w:fldCharType="separate"/>
          </w:r>
          <w:r>
            <w:rPr>
              <w:rFonts w:hint="eastAsia" w:ascii="宋体" w:hAnsi="宋体" w:eastAsia="宋体" w:cs="Times New Roman"/>
              <w:szCs w:val="32"/>
              <w:lang w:val="en-US" w:eastAsia="zh-CN"/>
            </w:rPr>
            <w:t xml:space="preserve">5 </w:t>
          </w:r>
          <w:r>
            <w:rPr>
              <w:rFonts w:hint="eastAsia" w:asciiTheme="minorEastAsia" w:hAnsiTheme="minorEastAsia" w:eastAsiaTheme="minorEastAsia" w:cstheme="minorEastAsia"/>
              <w:szCs w:val="32"/>
              <w:lang w:val="en-US" w:eastAsia="zh-CN"/>
            </w:rPr>
            <w:t>文件导出</w:t>
          </w:r>
          <w:r>
            <w:tab/>
          </w:r>
          <w:r>
            <w:fldChar w:fldCharType="begin"/>
          </w:r>
          <w:r>
            <w:instrText xml:space="preserve"> PAGEREF _Toc29539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_Toc20491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5.1 导出上报文件需知</w:t>
          </w:r>
          <w:r>
            <w:tab/>
          </w:r>
          <w:r>
            <w:fldChar w:fldCharType="begin"/>
          </w:r>
          <w:r>
            <w:instrText xml:space="preserve"> PAGEREF _Toc20491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_Toc14040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30"/>
              <w:lang w:val="en-US" w:eastAsia="zh-CN"/>
            </w:rPr>
            <w:t>5.2 导出上报文件</w:t>
          </w:r>
          <w:r>
            <w:tab/>
          </w:r>
          <w:r>
            <w:fldChar w:fldCharType="begin"/>
          </w:r>
          <w:r>
            <w:instrText xml:space="preserve"> PAGEREF _Toc14040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435797399"/>
      <w:bookmarkStart w:id="1" w:name="_Toc516220950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2" w:name="_Toc8498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文档介绍</w:t>
      </w:r>
      <w:bookmarkEnd w:id="2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3" w:name="_Toc6497"/>
      <w:r>
        <w:rPr>
          <w:rFonts w:hint="eastAsia" w:asciiTheme="minorEastAsia" w:hAnsiTheme="minorEastAsia" w:eastAsiaTheme="minorEastAsia" w:cstheme="minorEastAsia"/>
          <w:sz w:val="30"/>
          <w:szCs w:val="30"/>
        </w:rPr>
        <w:t>文档目的</w:t>
      </w:r>
      <w:bookmarkEnd w:id="0"/>
      <w:bookmarkEnd w:id="1"/>
      <w:bookmarkEnd w:id="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本文档用于指导参与《先进技术产品转化应用推荐目录（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2022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年度）》推荐单位，熟练使用推荐单位项目信息采集系统，明确操作时注意事项和要点。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4" w:name="_Toc516220951"/>
      <w:bookmarkStart w:id="5" w:name="_Toc435797400"/>
      <w:bookmarkStart w:id="6" w:name="_Toc3859"/>
      <w:r>
        <w:rPr>
          <w:rFonts w:hint="eastAsia" w:asciiTheme="minorEastAsia" w:hAnsiTheme="minorEastAsia" w:eastAsiaTheme="minorEastAsia" w:cstheme="minorEastAsia"/>
          <w:sz w:val="30"/>
          <w:szCs w:val="30"/>
        </w:rPr>
        <w:t>文档范围</w:t>
      </w:r>
      <w:bookmarkEnd w:id="4"/>
      <w:bookmarkEnd w:id="5"/>
      <w:bookmarkEnd w:id="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本文档包含了推荐单位项目信息采集工具的运行环境、安装过程、使用流程、操作指导及注意事项等内容。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7" w:name="_Toc516220952"/>
      <w:bookmarkStart w:id="8" w:name="_Toc435797401"/>
      <w:bookmarkStart w:id="9" w:name="_Toc28975"/>
      <w:r>
        <w:rPr>
          <w:rFonts w:hint="eastAsia" w:asciiTheme="minorEastAsia" w:hAnsiTheme="minorEastAsia" w:eastAsiaTheme="minorEastAsia" w:cstheme="minorEastAsia"/>
          <w:sz w:val="30"/>
          <w:szCs w:val="30"/>
        </w:rPr>
        <w:t>读者对象</w:t>
      </w:r>
      <w:bookmarkEnd w:id="7"/>
      <w:bookmarkEnd w:id="8"/>
      <w:bookmarkEnd w:id="9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各地工业和信息化主管部门、国防科技工业管理部门、全国工商联办公厅、有关中央企业（集团）、行业协会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/学会、高校。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0" w:name="_Toc10097"/>
      <w:r>
        <w:rPr>
          <w:rFonts w:hint="eastAsia" w:asciiTheme="minorEastAsia" w:hAnsiTheme="minorEastAsia" w:eastAsiaTheme="minorEastAsia" w:cstheme="minorEastAsia"/>
          <w:sz w:val="30"/>
          <w:szCs w:val="30"/>
        </w:rPr>
        <w:t>支持和信息反馈</w:t>
      </w:r>
      <w:bookmarkEnd w:id="1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如果需要技术支持或有任何宝贵意见，请反馈：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业务咨询联系人：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刘胜男 010-57528172  18518011551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技术支持联系人：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张松鹤 010-68387666  13264494901</w:t>
      </w:r>
    </w:p>
    <w:p>
      <w:pP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</w:p>
    <w:p>
      <w:pPr>
        <w:pStyle w:val="15"/>
        <w:tabs>
          <w:tab w:val="right" w:leader="dot" w:pos="8306"/>
        </w:tabs>
        <w:ind w:left="0" w:leftChars="0"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pStyle w:val="15"/>
        <w:tabs>
          <w:tab w:val="right" w:leader="dot" w:pos="8306"/>
        </w:tabs>
        <w:ind w:left="0" w:leftChars="0"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pStyle w:val="15"/>
        <w:tabs>
          <w:tab w:val="right" w:leader="dot" w:pos="8306"/>
        </w:tabs>
        <w:ind w:left="0" w:leftChars="0"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11" w:name="_Toc15453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系统启动</w:t>
      </w:r>
      <w:bookmarkEnd w:id="11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2" w:name="_Toc11826"/>
      <w:r>
        <w:rPr>
          <w:rFonts w:hint="eastAsia" w:asciiTheme="minorEastAsia" w:hAnsiTheme="minorEastAsia" w:eastAsiaTheme="minorEastAsia" w:cstheme="minorEastAsia"/>
          <w:sz w:val="30"/>
          <w:szCs w:val="30"/>
        </w:rPr>
        <w:t>硬件环境</w:t>
      </w:r>
      <w:bookmarkEnd w:id="12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bookmarkStart w:id="13" w:name="_Toc105058803"/>
      <w:bookmarkStart w:id="14" w:name="_Toc105055812"/>
      <w:bookmarkStart w:id="15" w:name="_Toc105057435"/>
      <w:bookmarkStart w:id="16" w:name="_Toc25521"/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运行软件的主机运行内存512MB以上，建议硬盘内存40GB以上</w:t>
      </w:r>
      <w:bookmarkEnd w:id="13"/>
      <w:bookmarkEnd w:id="14"/>
      <w:bookmarkEnd w:id="15"/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，主机屏幕分辨率在1366*768以上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。</w:t>
      </w:r>
      <w:bookmarkEnd w:id="16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7" w:name="_Toc32725"/>
      <w:r>
        <w:rPr>
          <w:rFonts w:hint="eastAsia" w:asciiTheme="minorEastAsia" w:hAnsiTheme="minorEastAsia" w:eastAsiaTheme="minorEastAsia" w:cstheme="minorEastAsia"/>
          <w:sz w:val="30"/>
          <w:szCs w:val="30"/>
        </w:rPr>
        <w:t>软件环境</w:t>
      </w:r>
      <w:bookmarkEnd w:id="17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该软件需在安装有windows操作系统的台式计算机环境下运行，建议使用windows7及以上版本操作系统；为方便文档查看和解压缩文件，建议安装wps或office等文档查看工具和解压缩软件。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18" w:name="_Toc10930"/>
      <w:r>
        <w:rPr>
          <w:rFonts w:hint="eastAsia" w:asciiTheme="minorEastAsia" w:hAnsiTheme="minorEastAsia" w:eastAsiaTheme="minorEastAsia" w:cstheme="minorEastAsia"/>
          <w:sz w:val="30"/>
          <w:szCs w:val="30"/>
        </w:rPr>
        <w:t>解压过程</w:t>
      </w:r>
      <w:bookmarkEnd w:id="18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右击下载的压缩文件，选择解压当前文件夹下，即可将压缩文件中的内容解压到相应的安装目录；</w:t>
      </w:r>
    </w:p>
    <w:p>
      <w:pPr>
        <w:jc w:val="center"/>
      </w:pPr>
      <w:r>
        <w:drawing>
          <wp:inline distT="0" distB="0" distL="114300" distR="114300">
            <wp:extent cx="4173855" cy="2117725"/>
            <wp:effectExtent l="0" t="0" r="17145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178935" cy="1984375"/>
            <wp:effectExtent l="0" t="0" r="12065" b="158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19" w:name="_Toc19261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启动步骤</w:t>
      </w:r>
      <w:bookmarkEnd w:id="19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进入解压后的文件夹，双击“启动.bat”或“启动”文件，启动程序将进入到推荐单位项目信息采集系统登录页，首先填入单位名称、联系人、联系电话，点击登录进入到推荐单位项目信息采集系统首页；</w:t>
      </w:r>
    </w:p>
    <w:p>
      <w:pPr>
        <w:pStyle w:val="15"/>
        <w:tabs>
          <w:tab w:val="right" w:leader="dot" w:pos="8306"/>
        </w:tabs>
        <w:ind w:left="0" w:leftChars="0"/>
        <w:jc w:val="center"/>
      </w:pPr>
      <w:r>
        <w:drawing>
          <wp:inline distT="0" distB="0" distL="114300" distR="114300">
            <wp:extent cx="4053205" cy="2127250"/>
            <wp:effectExtent l="0" t="0" r="444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tabs>
          <w:tab w:val="right" w:leader="dot" w:pos="8306"/>
        </w:tabs>
        <w:ind w:left="0" w:leftChars="0"/>
      </w:pPr>
    </w:p>
    <w:p>
      <w:pPr>
        <w:jc w:val="center"/>
      </w:pPr>
      <w:r>
        <w:drawing>
          <wp:inline distT="0" distB="0" distL="114300" distR="114300">
            <wp:extent cx="4053840" cy="1988185"/>
            <wp:effectExtent l="0" t="0" r="3810" b="12065"/>
            <wp:docPr id="9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053840" cy="2112645"/>
            <wp:effectExtent l="0" t="0" r="3810" b="1905"/>
            <wp:docPr id="10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20" w:name="_Toc17642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单位申报数据</w:t>
      </w:r>
      <w:bookmarkEnd w:id="20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21" w:name="_Toc18915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导入单位申报文件</w:t>
      </w:r>
      <w:bookmarkEnd w:id="2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点击导入单位申报文件模块，选择要导入的文件，数据将导入此系统；</w:t>
      </w:r>
    </w:p>
    <w:p>
      <w:pPr>
        <w:jc w:val="center"/>
      </w:pPr>
      <w:r>
        <w:drawing>
          <wp:inline distT="0" distB="0" distL="114300" distR="114300">
            <wp:extent cx="4555490" cy="2379980"/>
            <wp:effectExtent l="0" t="0" r="16510" b="1270"/>
            <wp:docPr id="10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22" w:name="_Toc6444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审核查看申报数据</w:t>
      </w:r>
      <w:bookmarkEnd w:id="22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导入单位申报文件后，点击“审核查看申报数据”模块，可查看导入单位申报数据；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606290" cy="2513330"/>
            <wp:effectExtent l="0" t="0" r="3810" b="1270"/>
            <wp:docPr id="10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 xml:space="preserve"> </w:t>
      </w:r>
      <w:bookmarkStart w:id="23" w:name="_Toc13354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项目信息审核/取消审核</w:t>
      </w:r>
      <w:bookmarkEnd w:id="2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勾选项目列表中的对应的复选框按钮，点击“审核”按钮后，所勾选项目的审核状态将变为审核通过，若是再次点击“取消审核”后，将所勾选的项目的审核状态变为未审核；可点击“刷新”按钮可对列表数据刷新；</w:t>
      </w:r>
    </w:p>
    <w:p>
      <w:pPr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114300" distR="114300">
            <wp:extent cx="4904105" cy="2358390"/>
            <wp:effectExtent l="0" t="0" r="1079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24" w:name="_Toc7763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单位信息查看</w:t>
      </w:r>
      <w:bookmarkEnd w:id="24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点击右侧“单位信息”按钮，可查看该单位具体信息；</w:t>
      </w:r>
    </w:p>
    <w:p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919345" cy="2588895"/>
            <wp:effectExtent l="0" t="0" r="146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25" w:name="_Toc27999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项目信息查看</w:t>
      </w:r>
      <w:bookmarkEnd w:id="2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点击右侧“项目信息”按钮，可查看该项目详情信息；</w:t>
      </w:r>
    </w:p>
    <w:p>
      <w:pPr>
        <w:jc w:val="center"/>
      </w:pPr>
      <w:r>
        <w:drawing>
          <wp:inline distT="0" distB="0" distL="114300" distR="114300">
            <wp:extent cx="4573270" cy="2303145"/>
            <wp:effectExtent l="0" t="0" r="177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26" w:name="_Toc23252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审查单查看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 w:bidi="ar-SA"/>
        </w:rPr>
      </w:pPr>
      <w:r>
        <w:tab/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 w:bidi="ar-SA"/>
        </w:rPr>
        <w:t>点击右侧“审查单”按钮，页面将弹出上报单位所上传的的审查意见表图片；</w:t>
      </w:r>
    </w:p>
    <w:p>
      <w:pPr>
        <w:jc w:val="center"/>
      </w:pPr>
      <w:r>
        <w:drawing>
          <wp:inline distT="0" distB="0" distL="114300" distR="114300">
            <wp:extent cx="4792980" cy="2319020"/>
            <wp:effectExtent l="0" t="0" r="762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27" w:name="_Toc14614"/>
      <w:bookmarkStart w:id="37" w:name="_GoBack"/>
      <w:bookmarkEnd w:id="37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单位列表</w:t>
      </w:r>
      <w:bookmarkEnd w:id="27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列表左侧为“单位列表”，双击某个单位，可查询该单位及其下属单位所有项目数据并在列表中显示；</w:t>
      </w:r>
    </w:p>
    <w:p>
      <w:pPr>
        <w:ind w:firstLine="420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891405" cy="2577465"/>
            <wp:effectExtent l="0" t="0" r="4445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28" w:name="_Toc18209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下属推荐单位汇总表和审查意见表查看</w:t>
      </w:r>
      <w:bookmarkEnd w:id="28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注：本单位接收下属推荐单位数据后，可通过选中左侧单位树该推荐单位后，点击“意见表”和“汇总表”按钮查看该推荐单位上传的审查意见表和汇总表；</w:t>
      </w:r>
    </w:p>
    <w:p>
      <w:pPr>
        <w:jc w:val="center"/>
      </w:pPr>
      <w:r>
        <w:drawing>
          <wp:inline distT="0" distB="0" distL="114300" distR="114300">
            <wp:extent cx="4799330" cy="2160270"/>
            <wp:effectExtent l="0" t="0" r="127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29" w:name="_Toc3194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申报汇总</w:t>
      </w:r>
      <w:bookmarkEnd w:id="29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0" w:name="_Toc28718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下载审查意见表</w:t>
      </w:r>
      <w:bookmarkEnd w:id="3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ab/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点击“下载审查意见表”模块，根据提示请选择相应的文件夹，将审查意见表模板下载到选择的文件夹内。</w:t>
      </w:r>
    </w:p>
    <w:p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4697730" cy="2536190"/>
            <wp:effectExtent l="0" t="0" r="7620" b="16510"/>
            <wp:docPr id="10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jc w:val="center"/>
      </w:pPr>
      <w:r>
        <w:drawing>
          <wp:inline distT="0" distB="0" distL="114300" distR="114300">
            <wp:extent cx="4686935" cy="2483485"/>
            <wp:effectExtent l="0" t="0" r="18415" b="12065"/>
            <wp:docPr id="8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rPr>
          <w:rFonts w:asciiTheme="minorEastAsia" w:hAnsiTheme="minorEastAsia"/>
        </w:rPr>
      </w:pP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1" w:name="_Toc25412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上传盖章审查意见表图片</w:t>
      </w:r>
      <w:bookmarkEnd w:id="3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点击“上传盖章审查意见表图片”模块，选择“已盖章的审查意见表”图片，确认后上传。上传后可点击“查看”按钮，预览上传的图片。若需修改，可继续点击“上传盖章审查意见表图片”模块重新上传；</w:t>
      </w:r>
    </w:p>
    <w:p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3973195" cy="2125345"/>
            <wp:effectExtent l="0" t="0" r="8255" b="8255"/>
            <wp:docPr id="10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4020185" cy="1999615"/>
            <wp:effectExtent l="0" t="0" r="18415" b="635"/>
            <wp:docPr id="8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4095115" cy="216852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2" w:name="_Toc17182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下载申报汇总表汇总</w:t>
      </w:r>
      <w:bookmarkEnd w:id="32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 w:bidi="ar-SA"/>
        </w:rPr>
        <w:t>点击“下载申报汇总表”模块，系统将根据项目审核情况，形成汇总表。根据提示请选择相应的文件夹，将导出汇总表下载到选择的文件夹内。</w:t>
      </w:r>
    </w:p>
    <w:p>
      <w:pPr>
        <w:jc w:val="center"/>
      </w:pPr>
      <w:r>
        <w:drawing>
          <wp:inline distT="0" distB="0" distL="114300" distR="114300">
            <wp:extent cx="4527550" cy="2414905"/>
            <wp:effectExtent l="0" t="0" r="6350" b="4445"/>
            <wp:docPr id="10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15"/>
        <w:tabs>
          <w:tab w:val="right" w:leader="dot" w:pos="8306"/>
        </w:tabs>
        <w:ind w:left="0" w:leftChars="0" w:firstLine="0" w:firstLineChars="0"/>
        <w:jc w:val="center"/>
        <w:rPr>
          <w:rFonts w:hint="eastAsia" w:ascii="宋体" w:hAnsi="宋体" w:cs="宋体"/>
          <w:sz w:val="28"/>
          <w:szCs w:val="28"/>
        </w:rPr>
      </w:pPr>
      <w:r>
        <w:drawing>
          <wp:inline distT="0" distB="0" distL="114300" distR="114300">
            <wp:extent cx="4548505" cy="2406015"/>
            <wp:effectExtent l="0" t="0" r="4445" b="13335"/>
            <wp:docPr id="107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3" w:name="_Toc32044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上传盖章汇总表图片</w:t>
      </w:r>
      <w:bookmarkEnd w:id="3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eastAsia="zh-CN"/>
        </w:rPr>
        <w:t>点击“上传盖章汇总表图片”模块，选择“已盖章的汇总表”图片，确认后上传。上传后可点击“查看”按钮，预览上传的图片。若需修改，可继续点击“上传盖章汇总表图片”模块重新上传；</w:t>
      </w:r>
    </w:p>
    <w:p>
      <w:pPr>
        <w:tabs>
          <w:tab w:val="left" w:pos="312"/>
        </w:tabs>
        <w:jc w:val="center"/>
      </w:pPr>
      <w:r>
        <w:drawing>
          <wp:inline distT="0" distB="0" distL="114300" distR="114300">
            <wp:extent cx="4241165" cy="2235200"/>
            <wp:effectExtent l="0" t="0" r="6985" b="12700"/>
            <wp:docPr id="10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174490" cy="2212975"/>
            <wp:effectExtent l="0" t="0" r="16510" b="15875"/>
            <wp:docPr id="10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216400" cy="2251710"/>
            <wp:effectExtent l="0" t="0" r="12700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431" w:leftChars="0" w:hanging="431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bookmarkStart w:id="34" w:name="_Toc29539"/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文件导出</w:t>
      </w:r>
      <w:bookmarkEnd w:id="34"/>
    </w:p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5" w:name="_Toc20491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导出上报文件需知</w:t>
      </w:r>
      <w:bookmarkEnd w:id="35"/>
    </w:p>
    <w:p>
      <w:pPr>
        <w:pStyle w:val="15"/>
        <w:tabs>
          <w:tab w:val="right" w:leader="dot" w:pos="8306"/>
        </w:tabs>
        <w:ind w:left="0" w:leftChars="0" w:firstLine="0" w:firstLineChars="0"/>
      </w:pPr>
      <w:r>
        <w:rPr>
          <w:rFonts w:hint="eastAsia" w:ascii="宋体" w:hAnsi="宋体" w:cs="宋体"/>
          <w:sz w:val="28"/>
          <w:szCs w:val="28"/>
          <w:lang w:val="en-US" w:eastAsia="zh-CN"/>
        </w:rPr>
        <w:tab/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 w:bidi="ar-SA"/>
        </w:rPr>
        <w:t>在导出上报文件之前必须要有审核通过的项目，否则将会弹框提醒；</w:t>
      </w:r>
    </w:p>
    <w:p>
      <w:pPr>
        <w:jc w:val="center"/>
      </w:pPr>
      <w:r>
        <w:drawing>
          <wp:inline distT="0" distB="0" distL="114300" distR="114300">
            <wp:extent cx="4554855" cy="2390140"/>
            <wp:effectExtent l="0" t="0" r="17145" b="10160"/>
            <wp:docPr id="11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460" w:lineRule="exact"/>
        <w:ind w:left="578" w:leftChars="0" w:hanging="578" w:firstLineChars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6" w:name="_Toc14040"/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导出上报文件</w:t>
      </w:r>
      <w:bookmarkEnd w:id="3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460" w:lineRule="exact"/>
        <w:ind w:firstLine="420"/>
        <w:textAlignment w:val="auto"/>
        <w:rPr>
          <w:rFonts w:hint="default" w:ascii="宋体" w:hAnsi="宋体" w:eastAsia="宋体" w:cs="宋体"/>
          <w:b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kern w:val="0"/>
          <w:sz w:val="28"/>
          <w:szCs w:val="28"/>
          <w:lang w:val="en-US" w:eastAsia="zh-CN"/>
        </w:rPr>
        <w:t>点击“导出上报文件”模块。根据提示请选择相应的文件夹，将需上报的文件下载到选择的文件夹内（名称格式为“单位名称+datahz+时间+.zip”）。请将导出的压缩文件（可根据需要修改文件名称，该压缩文件设有文件保护，不可打开及解压）按照通知要求进行报送。</w:t>
      </w:r>
    </w:p>
    <w:p>
      <w:pPr>
        <w:jc w:val="center"/>
      </w:pPr>
      <w:r>
        <w:drawing>
          <wp:inline distT="0" distB="0" distL="114300" distR="114300">
            <wp:extent cx="4705350" cy="2494280"/>
            <wp:effectExtent l="0" t="0" r="0" b="1270"/>
            <wp:docPr id="11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hlWFe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90151"/>
    <w:multiLevelType w:val="multilevel"/>
    <w:tmpl w:val="3B09015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ascii="宋体" w:hAnsi="宋体" w:eastAsia="宋体"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b w:val="0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b w:val="0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0MmViZWE4NDljMzA2MDU5YTVjNjdlN2E0Nzc3Y2UifQ=="/>
  </w:docVars>
  <w:rsids>
    <w:rsidRoot w:val="00976C6F"/>
    <w:rsid w:val="00045B0C"/>
    <w:rsid w:val="000F71A0"/>
    <w:rsid w:val="00236374"/>
    <w:rsid w:val="00343A0F"/>
    <w:rsid w:val="0036211F"/>
    <w:rsid w:val="00460995"/>
    <w:rsid w:val="00490096"/>
    <w:rsid w:val="004915A4"/>
    <w:rsid w:val="006D6BD1"/>
    <w:rsid w:val="00774811"/>
    <w:rsid w:val="007817C4"/>
    <w:rsid w:val="007C4E35"/>
    <w:rsid w:val="007F21EA"/>
    <w:rsid w:val="009127D8"/>
    <w:rsid w:val="00976C6F"/>
    <w:rsid w:val="00A21BE9"/>
    <w:rsid w:val="00AE65AB"/>
    <w:rsid w:val="00B0721B"/>
    <w:rsid w:val="00B36CAF"/>
    <w:rsid w:val="00B40A93"/>
    <w:rsid w:val="00BD0C99"/>
    <w:rsid w:val="00C45CFA"/>
    <w:rsid w:val="00CB70BF"/>
    <w:rsid w:val="00CD7F3D"/>
    <w:rsid w:val="00CE0C4A"/>
    <w:rsid w:val="00D2082E"/>
    <w:rsid w:val="00E31ABC"/>
    <w:rsid w:val="00F06D3A"/>
    <w:rsid w:val="00F217F7"/>
    <w:rsid w:val="00F26F5A"/>
    <w:rsid w:val="00F51CE2"/>
    <w:rsid w:val="00FA1E72"/>
    <w:rsid w:val="01CB0E6A"/>
    <w:rsid w:val="021F5D11"/>
    <w:rsid w:val="02CC2C5F"/>
    <w:rsid w:val="02D74DFD"/>
    <w:rsid w:val="02E92CFF"/>
    <w:rsid w:val="04260E02"/>
    <w:rsid w:val="04754EC2"/>
    <w:rsid w:val="072A4378"/>
    <w:rsid w:val="07E1590B"/>
    <w:rsid w:val="081C3D9E"/>
    <w:rsid w:val="085E716A"/>
    <w:rsid w:val="08F063EC"/>
    <w:rsid w:val="091B799F"/>
    <w:rsid w:val="0A0A189F"/>
    <w:rsid w:val="0AFD0EBC"/>
    <w:rsid w:val="0BDF6813"/>
    <w:rsid w:val="0C094CF2"/>
    <w:rsid w:val="0D6276FC"/>
    <w:rsid w:val="0DA303ED"/>
    <w:rsid w:val="0DED1F93"/>
    <w:rsid w:val="0E394F38"/>
    <w:rsid w:val="0F862977"/>
    <w:rsid w:val="10BB784F"/>
    <w:rsid w:val="10F42D61"/>
    <w:rsid w:val="11BF5650"/>
    <w:rsid w:val="1209501D"/>
    <w:rsid w:val="122E62A7"/>
    <w:rsid w:val="12717936"/>
    <w:rsid w:val="131F558B"/>
    <w:rsid w:val="13CD49CE"/>
    <w:rsid w:val="13F35552"/>
    <w:rsid w:val="1424494B"/>
    <w:rsid w:val="157C50CB"/>
    <w:rsid w:val="17471E3D"/>
    <w:rsid w:val="17664CEC"/>
    <w:rsid w:val="179E3A27"/>
    <w:rsid w:val="17BD20FF"/>
    <w:rsid w:val="17EF5F01"/>
    <w:rsid w:val="18E90CD1"/>
    <w:rsid w:val="197A3840"/>
    <w:rsid w:val="19BC586D"/>
    <w:rsid w:val="1A400749"/>
    <w:rsid w:val="1A994FBC"/>
    <w:rsid w:val="1B3577D9"/>
    <w:rsid w:val="1BC906C6"/>
    <w:rsid w:val="1C045C77"/>
    <w:rsid w:val="1D453DC3"/>
    <w:rsid w:val="203F3487"/>
    <w:rsid w:val="210C1A01"/>
    <w:rsid w:val="21F169D8"/>
    <w:rsid w:val="22146DBF"/>
    <w:rsid w:val="240F6DE3"/>
    <w:rsid w:val="241A251D"/>
    <w:rsid w:val="244D65B8"/>
    <w:rsid w:val="2480698E"/>
    <w:rsid w:val="248C2F13"/>
    <w:rsid w:val="25E92311"/>
    <w:rsid w:val="263F6458"/>
    <w:rsid w:val="27475541"/>
    <w:rsid w:val="28E11408"/>
    <w:rsid w:val="2982698E"/>
    <w:rsid w:val="29980ADF"/>
    <w:rsid w:val="2B0D6AA1"/>
    <w:rsid w:val="2BE75544"/>
    <w:rsid w:val="2C8147A1"/>
    <w:rsid w:val="2E3D31FA"/>
    <w:rsid w:val="2EDD6063"/>
    <w:rsid w:val="2F1B1EC1"/>
    <w:rsid w:val="2F8A2639"/>
    <w:rsid w:val="2FD77181"/>
    <w:rsid w:val="31241E6E"/>
    <w:rsid w:val="31750EFD"/>
    <w:rsid w:val="323B2146"/>
    <w:rsid w:val="332008FE"/>
    <w:rsid w:val="337A24CF"/>
    <w:rsid w:val="34390907"/>
    <w:rsid w:val="34C12300"/>
    <w:rsid w:val="34F07218"/>
    <w:rsid w:val="353335A8"/>
    <w:rsid w:val="3627310D"/>
    <w:rsid w:val="36AF24E6"/>
    <w:rsid w:val="381A54EB"/>
    <w:rsid w:val="38C42E95"/>
    <w:rsid w:val="39822409"/>
    <w:rsid w:val="39D3481C"/>
    <w:rsid w:val="3A915A89"/>
    <w:rsid w:val="3AEA4709"/>
    <w:rsid w:val="3B4F52C4"/>
    <w:rsid w:val="3B892174"/>
    <w:rsid w:val="3C296B6D"/>
    <w:rsid w:val="3C776471"/>
    <w:rsid w:val="3E7A3FF6"/>
    <w:rsid w:val="3E895FE7"/>
    <w:rsid w:val="3EC55195"/>
    <w:rsid w:val="3F0008B6"/>
    <w:rsid w:val="40D66A4E"/>
    <w:rsid w:val="40EA0CEE"/>
    <w:rsid w:val="41D61543"/>
    <w:rsid w:val="41F86B65"/>
    <w:rsid w:val="41FB30E3"/>
    <w:rsid w:val="42635AF9"/>
    <w:rsid w:val="43445919"/>
    <w:rsid w:val="43AF378A"/>
    <w:rsid w:val="43E20674"/>
    <w:rsid w:val="44096F26"/>
    <w:rsid w:val="443D287E"/>
    <w:rsid w:val="44F3065E"/>
    <w:rsid w:val="457A48DC"/>
    <w:rsid w:val="45F621B4"/>
    <w:rsid w:val="47915AE6"/>
    <w:rsid w:val="47926FE7"/>
    <w:rsid w:val="47A76D05"/>
    <w:rsid w:val="48192EA3"/>
    <w:rsid w:val="49282FCC"/>
    <w:rsid w:val="4A673806"/>
    <w:rsid w:val="4AF30B6D"/>
    <w:rsid w:val="4C9A52C5"/>
    <w:rsid w:val="4E103CD7"/>
    <w:rsid w:val="4E4F7040"/>
    <w:rsid w:val="4EBA1B70"/>
    <w:rsid w:val="50EF43D0"/>
    <w:rsid w:val="515A3FE0"/>
    <w:rsid w:val="5204745F"/>
    <w:rsid w:val="53AE40CE"/>
    <w:rsid w:val="54436F0C"/>
    <w:rsid w:val="55561EA0"/>
    <w:rsid w:val="55A97243"/>
    <w:rsid w:val="561843C9"/>
    <w:rsid w:val="57BA07C3"/>
    <w:rsid w:val="581A3CCD"/>
    <w:rsid w:val="5B496FE4"/>
    <w:rsid w:val="5B616A47"/>
    <w:rsid w:val="5C8125C2"/>
    <w:rsid w:val="5CCF24BA"/>
    <w:rsid w:val="5CD318EA"/>
    <w:rsid w:val="5D167C95"/>
    <w:rsid w:val="5DF94AE0"/>
    <w:rsid w:val="5E84084D"/>
    <w:rsid w:val="5F465B03"/>
    <w:rsid w:val="6121716C"/>
    <w:rsid w:val="62EF64B1"/>
    <w:rsid w:val="633C0B1E"/>
    <w:rsid w:val="63C139AA"/>
    <w:rsid w:val="63F024E1"/>
    <w:rsid w:val="65EC1E02"/>
    <w:rsid w:val="65ED4F2A"/>
    <w:rsid w:val="67C0448A"/>
    <w:rsid w:val="6AFE54E3"/>
    <w:rsid w:val="6B0C66D2"/>
    <w:rsid w:val="6B0E3DCE"/>
    <w:rsid w:val="6B34502C"/>
    <w:rsid w:val="6B546B21"/>
    <w:rsid w:val="6CA36910"/>
    <w:rsid w:val="6CBC5656"/>
    <w:rsid w:val="6D2340C8"/>
    <w:rsid w:val="6D437B25"/>
    <w:rsid w:val="6DAA73FE"/>
    <w:rsid w:val="6E131871"/>
    <w:rsid w:val="6E8421A4"/>
    <w:rsid w:val="6EEE586F"/>
    <w:rsid w:val="6FC76AE5"/>
    <w:rsid w:val="724E11C4"/>
    <w:rsid w:val="72600F7B"/>
    <w:rsid w:val="726C367A"/>
    <w:rsid w:val="735A34D3"/>
    <w:rsid w:val="73F2195D"/>
    <w:rsid w:val="74CB6508"/>
    <w:rsid w:val="75B415C0"/>
    <w:rsid w:val="78076BBD"/>
    <w:rsid w:val="7AA900ED"/>
    <w:rsid w:val="7B3D7962"/>
    <w:rsid w:val="7B4428FF"/>
    <w:rsid w:val="7B503E6D"/>
    <w:rsid w:val="7C822E9F"/>
    <w:rsid w:val="7C831E97"/>
    <w:rsid w:val="7D124CFF"/>
    <w:rsid w:val="7F9B3D14"/>
    <w:rsid w:val="7F9E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4">
    <w:name w:val="标题 3 字符"/>
    <w:link w:val="4"/>
    <w:qFormat/>
    <w:uiPriority w:val="0"/>
    <w:rPr>
      <w:b/>
      <w:sz w:val="32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7A503E-933A-4521-80DD-A4068E5AD7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1836</Words>
  <Characters>2009</Characters>
  <Lines>21</Lines>
  <Paragraphs>6</Paragraphs>
  <TotalTime>0</TotalTime>
  <ScaleCrop>false</ScaleCrop>
  <LinksUpToDate>false</LinksUpToDate>
  <CharactersWithSpaces>2403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a</cp:lastModifiedBy>
  <dcterms:modified xsi:type="dcterms:W3CDTF">2021-03-29T00:53:38Z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  <property fmtid="{D5CDD505-2E9C-101B-9397-08002B2CF9AE}" pid="3" name="ICV">
    <vt:lpwstr>3121599CEDC5493981B7C595B38E6AD6</vt:lpwstr>
  </property>
</Properties>
</file>